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DA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 II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"BILAG II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INSTRUKSER TIL INDBERETNING AF KAPITALGRUNDLAG OG KAPITALGRUNDLAGSKRAV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DEL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INSTRUKSER VEDRØRENDE SKEMAER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(...)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 36.00 EKSPONERINGER MOD KRYPTOAKTIVER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10.1. </w:t>
      </w:r>
      <w:r>
        <w:rPr>
          <w:sz w:val="24"/>
          <w:rFonts w:ascii="Times New Roman" w:hAnsi="Times New Roman"/>
        </w:rPr>
        <w:t xml:space="preserve">GENERELLE BEMÆRKNINGER</w:t>
      </w:r>
    </w:p>
    <w:p w14:paraId="6942FA35" w14:textId="77777777" w:rsidR="005F103E" w:rsidRDefault="005F103E" w:rsidP="00CF4FBC">
      <w:pPr>
        <w:pStyle w:val="InstructionsText2"/>
      </w:pPr>
      <w:r>
        <w:t xml:space="preserve">Dette skema anvendes til at angive oplysninger om eksponeringer mod kryptoaktiver som påkrævet i henhold til artikel 501d, stk. 2 og 3, i forordning (EU) nr. 575/2013.</w:t>
      </w:r>
    </w:p>
    <w:p w14:paraId="4985A436" w14:textId="77777777" w:rsidR="005F103E" w:rsidRDefault="005F103E" w:rsidP="005F103E">
      <w:pPr>
        <w:pStyle w:val="InstructionsText2"/>
      </w:pPr>
      <w:r>
        <w:t xml:space="preserve">Eksponeringer i kryptoaktiver indberettes udelukkende i dette skema.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10.2. Instrukser vedrørende specifikke positioner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Kolonne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Henvisninger til retsakter og instrukser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Eksponeringsværdi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Værdien af kryptoaktiveksponeringerne for de forskellige typer kryptoaktiver, der er omhandlet i artikel 501d, stk. 2, i forordning (EU) nr. 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Risikovægtede eksponeringer (RWEA'er)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Artikel 501d, stk. 2, i forordning (EU) nr. 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Risikovægtede eksponeringer for de forskellige typer kryptoaktiveksponeringer beregnet i henhold til artikel 501d, stk. 2, i forordning (EU) nr. 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Række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Henvisninger til retsakter og instrukser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Samlede eksponeringer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Samlede værdier beregnet som summen af række 0020, 0030 og 0040.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Den i kolonne 0020 indberettede værdi skal være lig med de samlede risikoeksponeringer, der indberettes i række 0780 i skema C 02.00 (Kapitalgrundlagskrav).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Kryptoaktivksponeringer mod tokeniserede traditionelle aktiver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t xml:space="preserve">Artikel 501d, stk. 2, litra a), i forordning (EU) nr. 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aktivbaserede tokens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Artikel 501d, stk. 2, litra b), i forordning (EU) nr.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andre kryptoaktiver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t xml:space="preserve">Artikel 501d, stk. 2, litra c), i forordning (EU) nr.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t xml:space="preserve">Andre kryptoaktiveksponeringer end dem, der er omhandlet i artikel 501d, stk. 2, litra a) og b), i forordning (EU) nr. 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Række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Memorandumpost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andre kryptoaktiver udtrykt som en procentdel af institutternes kernekapital.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t xml:space="preserve">Artikel 501d, stk. 3, i forordning (EU) nr. 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da-DK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da-DK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da-DK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da-DK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da-DK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da-DK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da-DK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da-DK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da-DK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da-DK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da-DK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da-DK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da-DK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da-DK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da-DK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da-DK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da-DK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da-DK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da-DK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da-DK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da-DK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da-DK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da-DK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da-DK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a-DK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da-DK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da-DK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da-DK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da-DK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da-DK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da-DK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da-DK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da-DK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da-DK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da-DK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da-DK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da-DK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da-DK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da-DK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da-DK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da-DK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da-DK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da-DK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da-DK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da-DK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da-DK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da-DK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da-DK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a-DK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E035B-1BDD-49BD-A107-4DCB452D6AF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